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B6" w:rsidRDefault="00020A14" w:rsidP="00020A14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70485</wp:posOffset>
            </wp:positionV>
            <wp:extent cx="2047875" cy="3333750"/>
            <wp:effectExtent l="0" t="0" r="9525" b="0"/>
            <wp:wrapTight wrapText="bothSides">
              <wp:wrapPolygon edited="0">
                <wp:start x="17280" y="617"/>
                <wp:lineTo x="12860" y="2592"/>
                <wp:lineTo x="7233" y="2839"/>
                <wp:lineTo x="3818" y="3579"/>
                <wp:lineTo x="3818" y="5307"/>
                <wp:lineTo x="5023" y="6789"/>
                <wp:lineTo x="4220" y="8763"/>
                <wp:lineTo x="3014" y="10738"/>
                <wp:lineTo x="402" y="12466"/>
                <wp:lineTo x="402" y="13454"/>
                <wp:lineTo x="1407" y="14688"/>
                <wp:lineTo x="2210" y="16663"/>
                <wp:lineTo x="1005" y="18514"/>
                <wp:lineTo x="1005" y="21106"/>
                <wp:lineTo x="14869" y="21477"/>
                <wp:lineTo x="17280" y="21477"/>
                <wp:lineTo x="20696" y="20983"/>
                <wp:lineTo x="20093" y="16663"/>
                <wp:lineTo x="21500" y="15799"/>
                <wp:lineTo x="21500" y="14688"/>
                <wp:lineTo x="20495" y="8763"/>
                <wp:lineTo x="21299" y="6665"/>
                <wp:lineTo x="19892" y="5307"/>
                <wp:lineTo x="19088" y="4814"/>
                <wp:lineTo x="20495" y="4814"/>
                <wp:lineTo x="21299" y="3950"/>
                <wp:lineTo x="21299" y="2839"/>
                <wp:lineTo x="19088" y="617"/>
                <wp:lineTo x="17280" y="617"/>
              </wp:wrapPolygon>
            </wp:wrapTight>
            <wp:docPr id="1" name="Рисунок 1" descr="http://www.gifss.com/embarazadas/mujer-embaraza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ss.com/embarazadas/mujer-embarazad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1B6"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"Акушерська справа"</w:t>
      </w:r>
    </w:p>
    <w:p w:rsidR="00020A14" w:rsidRDefault="00020A14" w:rsidP="000D4D96">
      <w:pPr>
        <w:pStyle w:val="Zag"/>
        <w:widowControl w:val="0"/>
        <w:suppressAutoHyphens/>
        <w:spacing w:before="0" w:after="0"/>
        <w:rPr>
          <w:sz w:val="28"/>
          <w:szCs w:val="28"/>
          <w:lang w:val="en-US"/>
        </w:rPr>
      </w:pPr>
    </w:p>
    <w:p w:rsidR="000D4D96" w:rsidRPr="00020A14" w:rsidRDefault="000D4D96" w:rsidP="000D4D96">
      <w:pPr>
        <w:pStyle w:val="Zag"/>
        <w:widowControl w:val="0"/>
        <w:suppressAutoHyphens/>
        <w:spacing w:before="0" w:after="0"/>
        <w:rPr>
          <w:color w:val="0F243E" w:themeColor="text2" w:themeShade="80"/>
          <w:sz w:val="28"/>
          <w:szCs w:val="28"/>
          <w:lang w:val="uk-UA"/>
        </w:rPr>
      </w:pPr>
      <w:r w:rsidRPr="00020A14">
        <w:rPr>
          <w:color w:val="0F243E" w:themeColor="text2" w:themeShade="80"/>
          <w:sz w:val="28"/>
          <w:szCs w:val="28"/>
          <w:lang w:val="uk-UA"/>
        </w:rPr>
        <w:t>Перелік практичних навичок</w:t>
      </w:r>
    </w:p>
    <w:p w:rsidR="000D4D96" w:rsidRPr="000D4D96" w:rsidRDefault="000D4D96" w:rsidP="000D4D96">
      <w:pPr>
        <w:pStyle w:val="Zag"/>
        <w:widowControl w:val="0"/>
        <w:suppressAutoHyphens/>
        <w:spacing w:before="0" w:after="0"/>
        <w:jc w:val="left"/>
        <w:rPr>
          <w:b w:val="0"/>
          <w:sz w:val="28"/>
          <w:szCs w:val="28"/>
          <w:lang w:val="uk-UA"/>
        </w:rPr>
      </w:pP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1.</w:t>
      </w:r>
      <w:r w:rsidRPr="000D4D96">
        <w:rPr>
          <w:color w:val="auto"/>
          <w:sz w:val="28"/>
          <w:szCs w:val="28"/>
          <w:lang w:val="uk-UA"/>
        </w:rPr>
        <w:tab/>
        <w:t>Виявлення морфологічних проявів дистрофії, атрофії, некрозу на вологих та гістологічних препаратах.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2.</w:t>
      </w:r>
      <w:r w:rsidRPr="000D4D96">
        <w:rPr>
          <w:color w:val="auto"/>
          <w:sz w:val="28"/>
          <w:szCs w:val="28"/>
          <w:lang w:val="uk-UA"/>
        </w:rPr>
        <w:tab/>
        <w:t>Визначення видів некрозу за клінічними ознаками.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3.</w:t>
      </w:r>
      <w:r w:rsidRPr="000D4D96">
        <w:rPr>
          <w:color w:val="auto"/>
          <w:sz w:val="28"/>
          <w:szCs w:val="28"/>
          <w:lang w:val="uk-UA"/>
        </w:rPr>
        <w:tab/>
        <w:t>Розпізнавання місцевих проявів запалення.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4.</w:t>
      </w:r>
      <w:r w:rsidRPr="000D4D96">
        <w:rPr>
          <w:color w:val="auto"/>
          <w:sz w:val="28"/>
          <w:szCs w:val="28"/>
          <w:lang w:val="uk-UA"/>
        </w:rPr>
        <w:tab/>
        <w:t>Визначення видів пухлин за морфологічними ознаками.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5.</w:t>
      </w:r>
      <w:r w:rsidRPr="000D4D96">
        <w:rPr>
          <w:color w:val="auto"/>
          <w:sz w:val="28"/>
          <w:szCs w:val="28"/>
          <w:lang w:val="uk-UA"/>
        </w:rPr>
        <w:tab/>
        <w:t>Вивчення мазків крові при основних формах анемії, лейкоцитозу, лейкопенії.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6.</w:t>
      </w:r>
      <w:r w:rsidRPr="000D4D96">
        <w:rPr>
          <w:color w:val="auto"/>
          <w:sz w:val="28"/>
          <w:szCs w:val="28"/>
          <w:lang w:val="uk-UA"/>
        </w:rPr>
        <w:tab/>
        <w:t>Аналіз гемограми при різних захворюваннях.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7.</w:t>
      </w:r>
      <w:r w:rsidRPr="000D4D96">
        <w:rPr>
          <w:color w:val="auto"/>
          <w:sz w:val="28"/>
          <w:szCs w:val="28"/>
          <w:lang w:val="uk-UA"/>
        </w:rPr>
        <w:tab/>
        <w:t xml:space="preserve">Вивчення </w:t>
      </w:r>
      <w:proofErr w:type="spellStart"/>
      <w:r w:rsidRPr="000D4D96">
        <w:rPr>
          <w:color w:val="auto"/>
          <w:sz w:val="28"/>
          <w:szCs w:val="28"/>
          <w:lang w:val="uk-UA"/>
        </w:rPr>
        <w:t>макро-</w:t>
      </w:r>
      <w:proofErr w:type="spellEnd"/>
      <w:r w:rsidRPr="000D4D96">
        <w:rPr>
          <w:color w:val="auto"/>
          <w:sz w:val="28"/>
          <w:szCs w:val="28"/>
          <w:lang w:val="uk-UA"/>
        </w:rPr>
        <w:t xml:space="preserve"> та мікропрепаратів.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8.</w:t>
      </w:r>
      <w:r w:rsidRPr="000D4D96">
        <w:rPr>
          <w:color w:val="auto"/>
          <w:sz w:val="28"/>
          <w:szCs w:val="28"/>
          <w:lang w:val="uk-UA"/>
        </w:rPr>
        <w:tab/>
        <w:t xml:space="preserve">Визначення видів хвороб серцево-судинної системи за морфологічними ознаками на </w:t>
      </w:r>
      <w:proofErr w:type="spellStart"/>
      <w:r w:rsidRPr="000D4D96">
        <w:rPr>
          <w:color w:val="auto"/>
          <w:sz w:val="28"/>
          <w:szCs w:val="28"/>
          <w:lang w:val="uk-UA"/>
        </w:rPr>
        <w:t>макро-</w:t>
      </w:r>
      <w:proofErr w:type="spellEnd"/>
      <w:r w:rsidRPr="000D4D96">
        <w:rPr>
          <w:color w:val="auto"/>
          <w:sz w:val="28"/>
          <w:szCs w:val="28"/>
          <w:lang w:val="uk-UA"/>
        </w:rPr>
        <w:t xml:space="preserve"> та мікропрепаратах (інфаркту міокарда, атеросклерозу судин, кардіосклерозу).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9.</w:t>
      </w:r>
      <w:r w:rsidRPr="000D4D96">
        <w:rPr>
          <w:color w:val="auto"/>
          <w:sz w:val="28"/>
          <w:szCs w:val="28"/>
          <w:lang w:val="uk-UA"/>
        </w:rPr>
        <w:tab/>
        <w:t>Визначення видів ушкодження за морфологічними ознаками: інфаркту міокарда, жирової дистрофії, амілоїдозу нирки (селезінки).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10.</w:t>
      </w:r>
      <w:r w:rsidRPr="000D4D96">
        <w:rPr>
          <w:color w:val="auto"/>
          <w:sz w:val="28"/>
          <w:szCs w:val="28"/>
          <w:lang w:val="uk-UA"/>
        </w:rPr>
        <w:tab/>
        <w:t>Визначення видів порушення кровообігу (стазу в капілярах, крововиливу в кору великого мозку, тромбів у судинах) за морфологічними ознаками.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11.</w:t>
      </w:r>
      <w:r w:rsidRPr="000D4D96">
        <w:rPr>
          <w:color w:val="auto"/>
          <w:sz w:val="28"/>
          <w:szCs w:val="28"/>
          <w:lang w:val="uk-UA"/>
        </w:rPr>
        <w:tab/>
        <w:t>Визначення видів патології дихання (крупозної пневмонії, антракозу, емфіземи легень) за морфологічними ознаками.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12.</w:t>
      </w:r>
      <w:r w:rsidRPr="000D4D96">
        <w:rPr>
          <w:color w:val="auto"/>
          <w:sz w:val="28"/>
          <w:szCs w:val="28"/>
          <w:lang w:val="uk-UA"/>
        </w:rPr>
        <w:tab/>
        <w:t>Визначення за морфологічними ознаками видів патології травної системи: атрофічного гастриту, виразкової хвороби шлунка, флегмонозного апендициту, цирозу печінки.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13.</w:t>
      </w:r>
      <w:r w:rsidRPr="000D4D96">
        <w:rPr>
          <w:color w:val="auto"/>
          <w:sz w:val="28"/>
          <w:szCs w:val="28"/>
          <w:lang w:val="uk-UA"/>
        </w:rPr>
        <w:tab/>
        <w:t>Визначення видів ушкодження (</w:t>
      </w:r>
      <w:proofErr w:type="spellStart"/>
      <w:r w:rsidRPr="000D4D96">
        <w:rPr>
          <w:color w:val="auto"/>
          <w:sz w:val="28"/>
          <w:szCs w:val="28"/>
          <w:lang w:val="uk-UA"/>
        </w:rPr>
        <w:t>гломерулонефриту</w:t>
      </w:r>
      <w:proofErr w:type="spellEnd"/>
      <w:r w:rsidRPr="000D4D96">
        <w:rPr>
          <w:color w:val="auto"/>
          <w:sz w:val="28"/>
          <w:szCs w:val="28"/>
          <w:lang w:val="uk-UA"/>
        </w:rPr>
        <w:t>, пієлонефриту, первинно зморщеної нирки) за морфологічними ознаками.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14.</w:t>
      </w:r>
      <w:r w:rsidRPr="000D4D96">
        <w:rPr>
          <w:color w:val="auto"/>
          <w:sz w:val="28"/>
          <w:szCs w:val="28"/>
          <w:lang w:val="uk-UA"/>
        </w:rPr>
        <w:tab/>
        <w:t>Визначення видів ушкоджень за морфологічними ознаками та клінічними проявами на вологих препаратах.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15.</w:t>
      </w:r>
      <w:r w:rsidRPr="000D4D96">
        <w:rPr>
          <w:color w:val="auto"/>
          <w:sz w:val="28"/>
          <w:szCs w:val="28"/>
          <w:lang w:val="uk-UA"/>
        </w:rPr>
        <w:tab/>
        <w:t xml:space="preserve">Характеристика </w:t>
      </w:r>
      <w:proofErr w:type="spellStart"/>
      <w:r w:rsidRPr="000D4D96">
        <w:rPr>
          <w:color w:val="auto"/>
          <w:sz w:val="28"/>
          <w:szCs w:val="28"/>
          <w:lang w:val="uk-UA"/>
        </w:rPr>
        <w:t>макро-</w:t>
      </w:r>
      <w:proofErr w:type="spellEnd"/>
      <w:r w:rsidRPr="000D4D96">
        <w:rPr>
          <w:color w:val="auto"/>
          <w:sz w:val="28"/>
          <w:szCs w:val="28"/>
          <w:lang w:val="uk-UA"/>
        </w:rPr>
        <w:t xml:space="preserve"> і мікропрепаратів при патології нервової системи.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16.</w:t>
      </w:r>
      <w:r w:rsidRPr="000D4D96">
        <w:rPr>
          <w:color w:val="auto"/>
          <w:sz w:val="28"/>
          <w:szCs w:val="28"/>
          <w:lang w:val="uk-UA"/>
        </w:rPr>
        <w:tab/>
        <w:t xml:space="preserve">Визначення видів ушкоджень за таблицями, </w:t>
      </w:r>
      <w:proofErr w:type="spellStart"/>
      <w:r w:rsidRPr="000D4D96">
        <w:rPr>
          <w:color w:val="auto"/>
          <w:sz w:val="28"/>
          <w:szCs w:val="28"/>
          <w:lang w:val="uk-UA"/>
        </w:rPr>
        <w:t>макро-</w:t>
      </w:r>
      <w:proofErr w:type="spellEnd"/>
      <w:r w:rsidRPr="000D4D96">
        <w:rPr>
          <w:color w:val="auto"/>
          <w:sz w:val="28"/>
          <w:szCs w:val="28"/>
          <w:lang w:val="uk-UA"/>
        </w:rPr>
        <w:t xml:space="preserve"> та мікропрепаратами.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17.</w:t>
      </w:r>
      <w:r w:rsidRPr="000D4D96">
        <w:rPr>
          <w:color w:val="auto"/>
          <w:sz w:val="28"/>
          <w:szCs w:val="28"/>
          <w:lang w:val="uk-UA"/>
        </w:rPr>
        <w:tab/>
        <w:t xml:space="preserve">Характеристика </w:t>
      </w:r>
      <w:proofErr w:type="spellStart"/>
      <w:r w:rsidRPr="000D4D96">
        <w:rPr>
          <w:color w:val="auto"/>
          <w:sz w:val="28"/>
          <w:szCs w:val="28"/>
          <w:lang w:val="uk-UA"/>
        </w:rPr>
        <w:t>макро-</w:t>
      </w:r>
      <w:proofErr w:type="spellEnd"/>
      <w:r w:rsidRPr="000D4D96">
        <w:rPr>
          <w:color w:val="auto"/>
          <w:sz w:val="28"/>
          <w:szCs w:val="28"/>
          <w:lang w:val="uk-UA"/>
        </w:rPr>
        <w:t xml:space="preserve"> і мікропрепаратів при патології </w:t>
      </w:r>
      <w:bookmarkStart w:id="0" w:name="_GoBack"/>
      <w:bookmarkEnd w:id="0"/>
      <w:r w:rsidRPr="000D4D96">
        <w:rPr>
          <w:color w:val="auto"/>
          <w:sz w:val="28"/>
          <w:szCs w:val="28"/>
          <w:lang w:val="uk-UA"/>
        </w:rPr>
        <w:t>вагітності і пологів.</w:t>
      </w:r>
    </w:p>
    <w:p w:rsidR="000D4D96" w:rsidRPr="000D4D96" w:rsidRDefault="000D4D96" w:rsidP="000D4D96">
      <w:pPr>
        <w:pStyle w:val="1"/>
        <w:widowControl w:val="0"/>
        <w:suppressAutoHyphens/>
        <w:spacing w:line="240" w:lineRule="auto"/>
        <w:ind w:left="425" w:hanging="425"/>
        <w:rPr>
          <w:color w:val="auto"/>
          <w:sz w:val="28"/>
          <w:szCs w:val="28"/>
          <w:lang w:val="uk-UA"/>
        </w:rPr>
      </w:pPr>
      <w:r w:rsidRPr="000D4D96">
        <w:rPr>
          <w:color w:val="auto"/>
          <w:sz w:val="28"/>
          <w:szCs w:val="28"/>
          <w:lang w:val="uk-UA"/>
        </w:rPr>
        <w:t>18.</w:t>
      </w:r>
      <w:r w:rsidRPr="000D4D96">
        <w:rPr>
          <w:color w:val="auto"/>
          <w:sz w:val="28"/>
          <w:szCs w:val="28"/>
          <w:lang w:val="uk-UA"/>
        </w:rPr>
        <w:tab/>
        <w:t>Вирішення ситуаційних завдань із застосуванням диференціальної діагностики.</w:t>
      </w:r>
    </w:p>
    <w:sectPr w:rsidR="000D4D96" w:rsidRPr="000D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D7"/>
    <w:rsid w:val="00020A14"/>
    <w:rsid w:val="000D4D96"/>
    <w:rsid w:val="006511B6"/>
    <w:rsid w:val="00C061D7"/>
    <w:rsid w:val="00D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0D4D96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0D4D96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A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A1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rsid w:val="000D4D96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0D4D96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A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A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085C-1FD0-4CD8-B13D-54258B4E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5</cp:revision>
  <dcterms:created xsi:type="dcterms:W3CDTF">2016-04-05T06:16:00Z</dcterms:created>
  <dcterms:modified xsi:type="dcterms:W3CDTF">2016-04-06T05:58:00Z</dcterms:modified>
</cp:coreProperties>
</file>